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2134</w:t>
      </w:r>
      <w:r>
        <w:rPr>
          <w:rFonts w:ascii="Times New Roman" w:eastAsia="Times New Roman" w:hAnsi="Times New Roman" w:cs="Times New Roman"/>
          <w:sz w:val="28"/>
          <w:szCs w:val="28"/>
        </w:rPr>
        <w:t>-2613/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ind w:firstLine="709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13 Сургутского судебного района города окружного значения Сургута Ханты-Мансийского автономного округа – Югры Айткулова Д.Б., находящийся по адресу: ХМАО-Югра,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Сургут, ул. Гагарина, д.9, каб. 502,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в отношении которого ведется производство по делу об административном правонарушении </w:t>
      </w:r>
      <w:r>
        <w:rPr>
          <w:rStyle w:val="cat-FIOgrp-14rplc-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отношении: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5rplc-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5rplc-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РФ, </w:t>
      </w:r>
      <w:r>
        <w:rPr>
          <w:rStyle w:val="cat-UserDefinedgrp-26rplc-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19rplc-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4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tabs>
          <w:tab w:val="left" w:pos="870"/>
          <w:tab w:val="center" w:pos="4677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09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10rplc-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около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0rplc-10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Addressgrp-5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4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гр. </w:t>
      </w:r>
      <w:r>
        <w:rPr>
          <w:rStyle w:val="cat-FIOgrp-16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 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имея признаки опьянения, а именно: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речь, бледный покров кожи, заторможенность движения, плох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ориентаци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местности, зрачки глаз расширены,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реагировали на световой раздражитель,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красный цвет белков глаз, неконтролируемые действия,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поведение не свойственное обстановке</w:t>
      </w:r>
      <w:r>
        <w:rPr>
          <w:rFonts w:ascii="Times New Roman" w:eastAsia="Times New Roman" w:hAnsi="Times New Roman" w:cs="Times New Roman"/>
          <w:sz w:val="28"/>
          <w:szCs w:val="28"/>
        </w:rPr>
        <w:t>. Тем самым имелись все основания полагать, что гр-н потребил наркотическое средство ил психотропное вещество без назначения врача, либо иное потенциально опасное психоактивное вещество. В соответствии с чем он был доставлен в здание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 ХМАО «СКПБН» по </w:t>
      </w:r>
      <w:r>
        <w:rPr>
          <w:rStyle w:val="cat-Addressgrp-6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где </w:t>
      </w:r>
      <w:r>
        <w:rPr>
          <w:rStyle w:val="cat-Dategrp-11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21rplc-17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гр. </w:t>
      </w:r>
      <w:r>
        <w:rPr>
          <w:rStyle w:val="cat-FIOgrp-16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отказался от прохождения медицинского освидетельствования, тем самым не выполнил законные требования уполномоченного должностного лица о прохождении медицинского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которое предусмотрена ч.1 ст. 6.9 КоАП ФР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администра</w:t>
      </w:r>
      <w:r>
        <w:rPr>
          <w:rFonts w:ascii="Times New Roman" w:eastAsia="Times New Roman" w:hAnsi="Times New Roman" w:cs="Times New Roman"/>
          <w:sz w:val="28"/>
          <w:szCs w:val="28"/>
        </w:rPr>
        <w:t>тивного правонарушения признал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содеянном раскаивается.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Заслушав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исследовав письменные материалы дела, мировой судья приходит к следующим выводам.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 и обстоятельства совершения административного правонарушения подтверждаются письменными доказательствами: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протоколом об адм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86№ </w:t>
      </w:r>
      <w:r>
        <w:rPr>
          <w:rFonts w:ascii="Times New Roman" w:eastAsia="Times New Roman" w:hAnsi="Times New Roman" w:cs="Times New Roman"/>
          <w:sz w:val="28"/>
          <w:szCs w:val="28"/>
        </w:rPr>
        <w:t>416551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2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м сотрудника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полиции, в котор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изложены обстоятельства административного правонарушения;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 направлении на медицинское освидетельствование на состояние опьянения от </w:t>
      </w:r>
      <w:r>
        <w:rPr>
          <w:rStyle w:val="cat-Dategrp-10rplc-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акта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медицинского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006759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0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отказал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прохождения медицинского освидетельствования на состояние опьянении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объяснениями свидетеля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справка РАИБД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 другими материалами дела.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оценены судом в соответствии с правилами ст. 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Киселев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С.Д.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6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6.9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4.2 КоАП РФ,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 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 суд не усматривает.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суд в соответствии с ч.2 ст. 4.1 КоАП РФ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Киселев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8"/>
          <w:szCs w:val="28"/>
        </w:rPr>
        <w:t>Киселев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С.Д.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совершенному правонарушению, суд назначает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>, поскольку указанный вид наказания является в данном случае справедливым и соразмерным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5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6.9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наказание в виде административного ареста на срок 5 (пять) суток.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оглашения постановления, т.е.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Style w:val="cat-Dategrp-11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 суд Ханты – Мансийского автономного округа – Югры в течение десяти дней со дня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судебного участка №13 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______________________Д.Б. Айткулова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23 декабря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2025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документ хранится в деле № </w:t>
      </w:r>
      <w:r>
        <w:rPr>
          <w:rFonts w:ascii="Times New Roman" w:eastAsia="Times New Roman" w:hAnsi="Times New Roman" w:cs="Times New Roman"/>
          <w:sz w:val="20"/>
          <w:szCs w:val="20"/>
        </w:rPr>
        <w:t>5-</w:t>
      </w:r>
      <w:r>
        <w:rPr>
          <w:rFonts w:ascii="Times New Roman" w:eastAsia="Times New Roman" w:hAnsi="Times New Roman" w:cs="Times New Roman"/>
          <w:sz w:val="20"/>
          <w:szCs w:val="20"/>
        </w:rPr>
        <w:t>2134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2613/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 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14rplc-0">
    <w:name w:val="cat-FIO grp-14 rplc-0"/>
    <w:basedOn w:val="DefaultParagraphFont"/>
  </w:style>
  <w:style w:type="character" w:customStyle="1" w:styleId="cat-FIOgrp-15rplc-1">
    <w:name w:val="cat-FIO grp-15 rplc-1"/>
    <w:basedOn w:val="DefaultParagraphFont"/>
  </w:style>
  <w:style w:type="character" w:customStyle="1" w:styleId="cat-ExternalSystemDefinedgrp-25rplc-2">
    <w:name w:val="cat-ExternalSystemDefined grp-25 rplc-2"/>
    <w:basedOn w:val="DefaultParagraphFont"/>
  </w:style>
  <w:style w:type="character" w:customStyle="1" w:styleId="cat-PassportDatagrp-18rplc-3">
    <w:name w:val="cat-PassportData grp-18 rplc-3"/>
    <w:basedOn w:val="DefaultParagraphFont"/>
  </w:style>
  <w:style w:type="character" w:customStyle="1" w:styleId="cat-UserDefinedgrp-26rplc-4">
    <w:name w:val="cat-UserDefined grp-26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PassportDatagrp-19rplc-6">
    <w:name w:val="cat-PassportData grp-19 rplc-6"/>
    <w:basedOn w:val="DefaultParagraphFont"/>
  </w:style>
  <w:style w:type="character" w:customStyle="1" w:styleId="cat-ExternalSystemDefinedgrp-24rplc-7">
    <w:name w:val="cat-ExternalSystemDefined grp-24 rplc-7"/>
    <w:basedOn w:val="DefaultParagraphFont"/>
  </w:style>
  <w:style w:type="character" w:customStyle="1" w:styleId="cat-ExternalSystemDefinedgrp-23rplc-8">
    <w:name w:val="cat-ExternalSystemDefined grp-23 rplc-8"/>
    <w:basedOn w:val="DefaultParagraphFont"/>
  </w:style>
  <w:style w:type="character" w:customStyle="1" w:styleId="cat-Dategrp-10rplc-9">
    <w:name w:val="cat-Date grp-10 rplc-9"/>
    <w:basedOn w:val="DefaultParagraphFont"/>
  </w:style>
  <w:style w:type="character" w:customStyle="1" w:styleId="cat-Timegrp-20rplc-10">
    <w:name w:val="cat-Time grp-20 rplc-10"/>
    <w:basedOn w:val="DefaultParagraphFont"/>
  </w:style>
  <w:style w:type="character" w:customStyle="1" w:styleId="cat-UserDefinedgrp-27rplc-11">
    <w:name w:val="cat-UserDefined grp-27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FIOgrp-16rplc-14">
    <w:name w:val="cat-FIO grp-16 rplc-14"/>
    <w:basedOn w:val="DefaultParagraphFont"/>
  </w:style>
  <w:style w:type="character" w:customStyle="1" w:styleId="cat-Addressgrp-6rplc-15">
    <w:name w:val="cat-Address grp-6 rplc-15"/>
    <w:basedOn w:val="DefaultParagraphFont"/>
  </w:style>
  <w:style w:type="character" w:customStyle="1" w:styleId="cat-Dategrp-11rplc-16">
    <w:name w:val="cat-Date grp-11 rplc-16"/>
    <w:basedOn w:val="DefaultParagraphFont"/>
  </w:style>
  <w:style w:type="character" w:customStyle="1" w:styleId="cat-Timegrp-21rplc-17">
    <w:name w:val="cat-Time grp-21 rplc-17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Dategrp-12rplc-21">
    <w:name w:val="cat-Date grp-12 rplc-21"/>
    <w:basedOn w:val="DefaultParagraphFont"/>
  </w:style>
  <w:style w:type="character" w:customStyle="1" w:styleId="cat-Dategrp-10rplc-22">
    <w:name w:val="cat-Date grp-10 rplc-22"/>
    <w:basedOn w:val="DefaultParagraphFont"/>
  </w:style>
  <w:style w:type="character" w:customStyle="1" w:styleId="cat-Dategrp-10rplc-23">
    <w:name w:val="cat-Date grp-10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FIOgrp-16rplc-25">
    <w:name w:val="cat-FIO grp-16 rplc-25"/>
    <w:basedOn w:val="DefaultParagraphFont"/>
  </w:style>
  <w:style w:type="character" w:customStyle="1" w:styleId="cat-FIOgrp-15rplc-26">
    <w:name w:val="cat-FIO grp-15 rplc-26"/>
    <w:basedOn w:val="DefaultParagraphFont"/>
  </w:style>
  <w:style w:type="character" w:customStyle="1" w:styleId="cat-Dategrp-11rplc-27">
    <w:name w:val="cat-Date grp-11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